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2D2168D" w14:textId="26A1AD8B" w:rsidR="002A43BA" w:rsidRPr="001D5C8F" w:rsidRDefault="002A43BA" w:rsidP="009512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1D5C8F">
        <w:rPr>
          <w:rFonts w:ascii="Times New Roman" w:hAnsi="Times New Roman" w:cs="Times New Roman"/>
          <w:b/>
          <w:sz w:val="24"/>
          <w:szCs w:val="24"/>
        </w:rPr>
        <w:t>No evidence for tephra in Greenland from the historic eruption of Vesuvius in 79 CE: Implications for geochronology and paleoclimatology</w:t>
      </w:r>
    </w:p>
    <w:p w14:paraId="0F0B3345" w14:textId="623033EC" w:rsidR="002A43BA" w:rsidRPr="001D5C8F" w:rsidRDefault="002A43BA" w:rsidP="009512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1D5C8F">
        <w:rPr>
          <w:rFonts w:ascii="Times New Roman" w:hAnsi="Times New Roman" w:cs="Times New Roman"/>
          <w:sz w:val="24"/>
          <w:szCs w:val="24"/>
        </w:rPr>
        <w:t xml:space="preserve">Gill Plunkett et al. </w:t>
      </w:r>
    </w:p>
    <w:p w14:paraId="6E44CF0E" w14:textId="52BC9BE0" w:rsidR="002A43BA" w:rsidRPr="001D5C8F" w:rsidRDefault="002A43BA" w:rsidP="009512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1D5C8F">
        <w:rPr>
          <w:rFonts w:ascii="Times New Roman" w:hAnsi="Times New Roman" w:cs="Times New Roman"/>
          <w:i/>
          <w:sz w:val="24"/>
          <w:szCs w:val="24"/>
        </w:rPr>
        <w:t>Correspondence to</w:t>
      </w:r>
      <w:r w:rsidRPr="001D5C8F">
        <w:rPr>
          <w:rFonts w:ascii="Times New Roman" w:hAnsi="Times New Roman" w:cs="Times New Roman"/>
          <w:sz w:val="24"/>
          <w:szCs w:val="24"/>
        </w:rPr>
        <w:t>: Gill Plunkett (</w:t>
      </w:r>
      <w:hyperlink r:id="rId6" w:history="1">
        <w:r w:rsidRPr="001D5C8F">
          <w:rPr>
            <w:rStyle w:val="Hyperlink"/>
            <w:rFonts w:ascii="Times New Roman" w:hAnsi="Times New Roman" w:cs="Times New Roman"/>
            <w:sz w:val="24"/>
            <w:szCs w:val="24"/>
          </w:rPr>
          <w:t>g.plunkett@qub.ac.uk</w:t>
        </w:r>
      </w:hyperlink>
      <w:r w:rsidRPr="001D5C8F">
        <w:rPr>
          <w:rFonts w:ascii="Times New Roman" w:hAnsi="Times New Roman" w:cs="Times New Roman"/>
          <w:sz w:val="24"/>
          <w:szCs w:val="24"/>
        </w:rPr>
        <w:t>)</w:t>
      </w:r>
    </w:p>
    <w:p w14:paraId="780757A7" w14:textId="28B4C814" w:rsidR="002A43BA" w:rsidRPr="001D5C8F" w:rsidRDefault="002A43BA" w:rsidP="009512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3A6C69BA" w14:textId="5DB3C864" w:rsidR="002A43BA" w:rsidRPr="00AC7198" w:rsidRDefault="002A43BA" w:rsidP="009512A2">
      <w:pPr>
        <w:spacing w:after="0" w:line="240" w:lineRule="auto"/>
        <w:rPr>
          <w:rFonts w:ascii="Times New Roman" w:hAnsi="Times New Roman" w:cs="Times New Roman"/>
          <w:b/>
          <w:bCs/>
          <w:sz w:val="32"/>
          <w:szCs w:val="32"/>
        </w:rPr>
      </w:pPr>
      <w:r w:rsidRPr="00AC7198">
        <w:rPr>
          <w:rFonts w:ascii="Times New Roman" w:hAnsi="Times New Roman" w:cs="Times New Roman"/>
          <w:b/>
          <w:bCs/>
          <w:sz w:val="32"/>
          <w:szCs w:val="32"/>
        </w:rPr>
        <w:t>Supplementary information</w:t>
      </w:r>
    </w:p>
    <w:p w14:paraId="312F205C" w14:textId="77F949C7" w:rsidR="002A43BA" w:rsidRPr="001D5C8F" w:rsidRDefault="002A43BA" w:rsidP="009512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02BA5E77" w14:textId="4C4A5014" w:rsidR="005B5210" w:rsidRDefault="005B5210" w:rsidP="009512A2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1D5C8F">
        <w:rPr>
          <w:rFonts w:ascii="Times New Roman" w:hAnsi="Times New Roman" w:cs="Times New Roman"/>
          <w:b/>
          <w:bCs/>
          <w:sz w:val="24"/>
          <w:szCs w:val="24"/>
        </w:rPr>
        <w:t xml:space="preserve">1 </w:t>
      </w:r>
      <w:r w:rsidR="00157DDA" w:rsidRPr="001D5C8F">
        <w:rPr>
          <w:rFonts w:ascii="Times New Roman" w:hAnsi="Times New Roman" w:cs="Times New Roman"/>
          <w:b/>
          <w:bCs/>
          <w:sz w:val="24"/>
          <w:szCs w:val="24"/>
        </w:rPr>
        <w:t>NEEM-2011-S1 i</w:t>
      </w:r>
      <w:r w:rsidR="00D25AC9" w:rsidRPr="001D5C8F">
        <w:rPr>
          <w:rFonts w:ascii="Times New Roman" w:hAnsi="Times New Roman" w:cs="Times New Roman"/>
          <w:b/>
          <w:bCs/>
          <w:sz w:val="24"/>
          <w:szCs w:val="24"/>
        </w:rPr>
        <w:t>ce core sample details</w:t>
      </w:r>
    </w:p>
    <w:p w14:paraId="59EEE2F6" w14:textId="77777777" w:rsidR="00DB3DF2" w:rsidRPr="001D5C8F" w:rsidRDefault="00DB3DF2" w:rsidP="009512A2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tbl>
      <w:tblPr>
        <w:tblW w:w="8272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146"/>
        <w:gridCol w:w="1722"/>
        <w:gridCol w:w="1230"/>
        <w:gridCol w:w="975"/>
        <w:gridCol w:w="2199"/>
      </w:tblGrid>
      <w:tr w:rsidR="00157DDA" w:rsidRPr="001D5C8F" w14:paraId="2504D17A" w14:textId="77777777" w:rsidTr="00157DDA">
        <w:trPr>
          <w:trHeight w:val="288"/>
          <w:jc w:val="center"/>
        </w:trPr>
        <w:tc>
          <w:tcPr>
            <w:tcW w:w="2146" w:type="dxa"/>
            <w:shd w:val="clear" w:color="auto" w:fill="auto"/>
            <w:noWrap/>
            <w:vAlign w:val="bottom"/>
            <w:hideMark/>
          </w:tcPr>
          <w:p w14:paraId="1BF834DA" w14:textId="77777777" w:rsidR="00157DDA" w:rsidRPr="001D5C8F" w:rsidRDefault="00157DDA" w:rsidP="009512A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en-GB"/>
              </w:rPr>
            </w:pPr>
            <w:r w:rsidRPr="005B521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en-GB"/>
              </w:rPr>
              <w:t xml:space="preserve">Sample </w:t>
            </w:r>
            <w:r w:rsidRPr="001D5C8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en-GB"/>
              </w:rPr>
              <w:t>d</w:t>
            </w:r>
            <w:r w:rsidRPr="005B521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en-GB"/>
              </w:rPr>
              <w:t>epth (m)</w:t>
            </w:r>
          </w:p>
        </w:tc>
        <w:tc>
          <w:tcPr>
            <w:tcW w:w="1722" w:type="dxa"/>
            <w:shd w:val="clear" w:color="auto" w:fill="auto"/>
            <w:noWrap/>
            <w:vAlign w:val="bottom"/>
            <w:hideMark/>
          </w:tcPr>
          <w:p w14:paraId="35B18154" w14:textId="77777777" w:rsidR="00157DDA" w:rsidRPr="005B5210" w:rsidRDefault="00157DDA" w:rsidP="009512A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en-GB"/>
              </w:rPr>
            </w:pPr>
            <w:r w:rsidRPr="005B521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en-GB"/>
              </w:rPr>
              <w:t>Length (cm)</w:t>
            </w:r>
          </w:p>
        </w:tc>
        <w:tc>
          <w:tcPr>
            <w:tcW w:w="1230" w:type="dxa"/>
            <w:shd w:val="clear" w:color="auto" w:fill="auto"/>
            <w:noWrap/>
            <w:vAlign w:val="bottom"/>
            <w:hideMark/>
          </w:tcPr>
          <w:p w14:paraId="75BB3FB7" w14:textId="77777777" w:rsidR="00157DDA" w:rsidRPr="005B5210" w:rsidRDefault="00157DDA" w:rsidP="009512A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en-GB"/>
              </w:rPr>
            </w:pPr>
            <w:r w:rsidRPr="005B521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en-GB"/>
              </w:rPr>
              <w:t>Mass (g)</w:t>
            </w:r>
          </w:p>
        </w:tc>
        <w:tc>
          <w:tcPr>
            <w:tcW w:w="975" w:type="dxa"/>
            <w:shd w:val="clear" w:color="auto" w:fill="auto"/>
            <w:noWrap/>
            <w:vAlign w:val="bottom"/>
            <w:hideMark/>
          </w:tcPr>
          <w:p w14:paraId="2B884545" w14:textId="77777777" w:rsidR="00157DDA" w:rsidRPr="005B5210" w:rsidRDefault="00157DDA" w:rsidP="009512A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en-GB"/>
              </w:rPr>
            </w:pPr>
            <w:r w:rsidRPr="005B521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en-GB"/>
              </w:rPr>
              <w:t>g/cm</w:t>
            </w:r>
          </w:p>
        </w:tc>
        <w:tc>
          <w:tcPr>
            <w:tcW w:w="2199" w:type="dxa"/>
            <w:shd w:val="clear" w:color="auto" w:fill="auto"/>
            <w:noWrap/>
            <w:vAlign w:val="bottom"/>
            <w:hideMark/>
          </w:tcPr>
          <w:p w14:paraId="25D63039" w14:textId="77777777" w:rsidR="00157DDA" w:rsidRPr="005B5210" w:rsidRDefault="00157DDA" w:rsidP="009512A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en-GB"/>
              </w:rPr>
            </w:pPr>
            <w:r w:rsidRPr="005B521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en-GB"/>
              </w:rPr>
              <w:t>Tephra sample</w:t>
            </w:r>
          </w:p>
        </w:tc>
      </w:tr>
      <w:tr w:rsidR="00157DDA" w:rsidRPr="001D5C8F" w14:paraId="638EEF4B" w14:textId="77777777" w:rsidTr="00157DDA">
        <w:trPr>
          <w:trHeight w:val="288"/>
          <w:jc w:val="center"/>
        </w:trPr>
        <w:tc>
          <w:tcPr>
            <w:tcW w:w="2146" w:type="dxa"/>
            <w:shd w:val="clear" w:color="auto" w:fill="auto"/>
            <w:noWrap/>
            <w:vAlign w:val="bottom"/>
            <w:hideMark/>
          </w:tcPr>
          <w:p w14:paraId="3B35C2D6" w14:textId="034C6576" w:rsidR="00157DDA" w:rsidRPr="005B5210" w:rsidRDefault="00157DDA" w:rsidP="009512A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n-GB"/>
              </w:rPr>
            </w:pPr>
            <w:r w:rsidRPr="005B5210">
              <w:rPr>
                <w:rFonts w:ascii="Times New Roman" w:eastAsia="Times New Roman" w:hAnsi="Times New Roman" w:cs="Times New Roman"/>
                <w:sz w:val="24"/>
                <w:szCs w:val="24"/>
                <w:lang w:eastAsia="en-GB"/>
              </w:rPr>
              <w:t>410.85</w:t>
            </w:r>
            <w:r w:rsidRPr="001D5C8F">
              <w:rPr>
                <w:rFonts w:ascii="Times New Roman" w:eastAsia="Times New Roman" w:hAnsi="Times New Roman" w:cs="Times New Roman"/>
                <w:sz w:val="24"/>
                <w:szCs w:val="24"/>
                <w:lang w:eastAsia="en-GB"/>
              </w:rPr>
              <w:t>–410.65</w:t>
            </w:r>
          </w:p>
        </w:tc>
        <w:tc>
          <w:tcPr>
            <w:tcW w:w="1722" w:type="dxa"/>
            <w:shd w:val="clear" w:color="auto" w:fill="auto"/>
            <w:noWrap/>
            <w:vAlign w:val="bottom"/>
            <w:hideMark/>
          </w:tcPr>
          <w:p w14:paraId="0F8C84E7" w14:textId="77777777" w:rsidR="00157DDA" w:rsidRPr="005B5210" w:rsidRDefault="00157DDA" w:rsidP="009512A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n-GB"/>
              </w:rPr>
            </w:pPr>
            <w:r w:rsidRPr="005B5210">
              <w:rPr>
                <w:rFonts w:ascii="Times New Roman" w:eastAsia="Times New Roman" w:hAnsi="Times New Roman" w:cs="Times New Roman"/>
                <w:sz w:val="24"/>
                <w:szCs w:val="24"/>
                <w:lang w:eastAsia="en-GB"/>
              </w:rPr>
              <w:t>20</w:t>
            </w:r>
          </w:p>
        </w:tc>
        <w:tc>
          <w:tcPr>
            <w:tcW w:w="1230" w:type="dxa"/>
            <w:shd w:val="clear" w:color="auto" w:fill="auto"/>
            <w:noWrap/>
            <w:vAlign w:val="bottom"/>
            <w:hideMark/>
          </w:tcPr>
          <w:p w14:paraId="1CD339C8" w14:textId="77777777" w:rsidR="00157DDA" w:rsidRPr="005B5210" w:rsidRDefault="00157DDA" w:rsidP="009512A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n-GB"/>
              </w:rPr>
            </w:pPr>
            <w:r w:rsidRPr="005B5210">
              <w:rPr>
                <w:rFonts w:ascii="Times New Roman" w:eastAsia="Times New Roman" w:hAnsi="Times New Roman" w:cs="Times New Roman"/>
                <w:sz w:val="24"/>
                <w:szCs w:val="24"/>
                <w:lang w:eastAsia="en-GB"/>
              </w:rPr>
              <w:t>289</w:t>
            </w:r>
          </w:p>
        </w:tc>
        <w:tc>
          <w:tcPr>
            <w:tcW w:w="975" w:type="dxa"/>
            <w:shd w:val="clear" w:color="auto" w:fill="auto"/>
            <w:noWrap/>
            <w:vAlign w:val="bottom"/>
            <w:hideMark/>
          </w:tcPr>
          <w:p w14:paraId="6E5C7968" w14:textId="77777777" w:rsidR="00157DDA" w:rsidRPr="005B5210" w:rsidRDefault="00157DDA" w:rsidP="009512A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n-GB"/>
              </w:rPr>
            </w:pPr>
            <w:r w:rsidRPr="005B5210">
              <w:rPr>
                <w:rFonts w:ascii="Times New Roman" w:eastAsia="Times New Roman" w:hAnsi="Times New Roman" w:cs="Times New Roman"/>
                <w:sz w:val="24"/>
                <w:szCs w:val="24"/>
                <w:lang w:eastAsia="en-GB"/>
              </w:rPr>
              <w:t>14.4</w:t>
            </w:r>
          </w:p>
        </w:tc>
        <w:tc>
          <w:tcPr>
            <w:tcW w:w="2199" w:type="dxa"/>
            <w:shd w:val="clear" w:color="auto" w:fill="auto"/>
            <w:noWrap/>
            <w:vAlign w:val="bottom"/>
            <w:hideMark/>
          </w:tcPr>
          <w:p w14:paraId="6CAA7D1F" w14:textId="77777777" w:rsidR="00157DDA" w:rsidRPr="005B5210" w:rsidRDefault="00157DDA" w:rsidP="009512A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n-GB"/>
              </w:rPr>
            </w:pPr>
            <w:r w:rsidRPr="005B5210">
              <w:rPr>
                <w:rFonts w:ascii="Times New Roman" w:eastAsia="Times New Roman" w:hAnsi="Times New Roman" w:cs="Times New Roman"/>
                <w:sz w:val="24"/>
                <w:szCs w:val="24"/>
                <w:lang w:eastAsia="en-GB"/>
              </w:rPr>
              <w:t>QUB-1832</w:t>
            </w:r>
          </w:p>
        </w:tc>
      </w:tr>
      <w:tr w:rsidR="00157DDA" w:rsidRPr="001D5C8F" w14:paraId="0380850E" w14:textId="77777777" w:rsidTr="00157DDA">
        <w:trPr>
          <w:trHeight w:val="288"/>
          <w:jc w:val="center"/>
        </w:trPr>
        <w:tc>
          <w:tcPr>
            <w:tcW w:w="2146" w:type="dxa"/>
            <w:shd w:val="clear" w:color="auto" w:fill="auto"/>
            <w:noWrap/>
            <w:vAlign w:val="bottom"/>
            <w:hideMark/>
          </w:tcPr>
          <w:p w14:paraId="7D7EF2C6" w14:textId="0597D240" w:rsidR="00157DDA" w:rsidRPr="005B5210" w:rsidRDefault="00157DDA" w:rsidP="009512A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n-GB"/>
              </w:rPr>
            </w:pPr>
            <w:r w:rsidRPr="005B5210">
              <w:rPr>
                <w:rFonts w:ascii="Times New Roman" w:eastAsia="Times New Roman" w:hAnsi="Times New Roman" w:cs="Times New Roman"/>
                <w:sz w:val="24"/>
                <w:szCs w:val="24"/>
                <w:lang w:eastAsia="en-GB"/>
              </w:rPr>
              <w:t>410.65</w:t>
            </w:r>
            <w:r w:rsidRPr="001D5C8F">
              <w:rPr>
                <w:rFonts w:ascii="Times New Roman" w:eastAsia="Times New Roman" w:hAnsi="Times New Roman" w:cs="Times New Roman"/>
                <w:sz w:val="24"/>
                <w:szCs w:val="24"/>
                <w:lang w:eastAsia="en-GB"/>
              </w:rPr>
              <w:t>–410.40</w:t>
            </w:r>
          </w:p>
        </w:tc>
        <w:tc>
          <w:tcPr>
            <w:tcW w:w="1722" w:type="dxa"/>
            <w:shd w:val="clear" w:color="auto" w:fill="auto"/>
            <w:noWrap/>
            <w:vAlign w:val="bottom"/>
            <w:hideMark/>
          </w:tcPr>
          <w:p w14:paraId="1D9E919E" w14:textId="77777777" w:rsidR="00157DDA" w:rsidRPr="005B5210" w:rsidRDefault="00157DDA" w:rsidP="009512A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n-GB"/>
              </w:rPr>
            </w:pPr>
            <w:r w:rsidRPr="005B5210">
              <w:rPr>
                <w:rFonts w:ascii="Times New Roman" w:eastAsia="Times New Roman" w:hAnsi="Times New Roman" w:cs="Times New Roman"/>
                <w:sz w:val="24"/>
                <w:szCs w:val="24"/>
                <w:lang w:eastAsia="en-GB"/>
              </w:rPr>
              <w:t>25</w:t>
            </w:r>
          </w:p>
        </w:tc>
        <w:tc>
          <w:tcPr>
            <w:tcW w:w="1230" w:type="dxa"/>
            <w:shd w:val="clear" w:color="auto" w:fill="auto"/>
            <w:noWrap/>
            <w:vAlign w:val="bottom"/>
            <w:hideMark/>
          </w:tcPr>
          <w:p w14:paraId="6745154A" w14:textId="77777777" w:rsidR="00157DDA" w:rsidRPr="005B5210" w:rsidRDefault="00157DDA" w:rsidP="009512A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n-GB"/>
              </w:rPr>
            </w:pPr>
            <w:r w:rsidRPr="005B5210">
              <w:rPr>
                <w:rFonts w:ascii="Times New Roman" w:eastAsia="Times New Roman" w:hAnsi="Times New Roman" w:cs="Times New Roman"/>
                <w:sz w:val="24"/>
                <w:szCs w:val="24"/>
                <w:lang w:eastAsia="en-GB"/>
              </w:rPr>
              <w:t>394</w:t>
            </w:r>
          </w:p>
        </w:tc>
        <w:tc>
          <w:tcPr>
            <w:tcW w:w="975" w:type="dxa"/>
            <w:shd w:val="clear" w:color="auto" w:fill="auto"/>
            <w:noWrap/>
            <w:vAlign w:val="bottom"/>
            <w:hideMark/>
          </w:tcPr>
          <w:p w14:paraId="604EAF3E" w14:textId="77777777" w:rsidR="00157DDA" w:rsidRPr="005B5210" w:rsidRDefault="00157DDA" w:rsidP="009512A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n-GB"/>
              </w:rPr>
            </w:pPr>
            <w:r w:rsidRPr="005B5210">
              <w:rPr>
                <w:rFonts w:ascii="Times New Roman" w:eastAsia="Times New Roman" w:hAnsi="Times New Roman" w:cs="Times New Roman"/>
                <w:sz w:val="24"/>
                <w:szCs w:val="24"/>
                <w:lang w:eastAsia="en-GB"/>
              </w:rPr>
              <w:t>15.8</w:t>
            </w:r>
          </w:p>
        </w:tc>
        <w:tc>
          <w:tcPr>
            <w:tcW w:w="2199" w:type="dxa"/>
            <w:shd w:val="clear" w:color="auto" w:fill="auto"/>
            <w:noWrap/>
            <w:vAlign w:val="bottom"/>
            <w:hideMark/>
          </w:tcPr>
          <w:p w14:paraId="45A5C4ED" w14:textId="77777777" w:rsidR="00157DDA" w:rsidRPr="005B5210" w:rsidRDefault="00157DDA" w:rsidP="009512A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n-GB"/>
              </w:rPr>
            </w:pPr>
            <w:r w:rsidRPr="005B5210">
              <w:rPr>
                <w:rFonts w:ascii="Times New Roman" w:eastAsia="Times New Roman" w:hAnsi="Times New Roman" w:cs="Times New Roman"/>
                <w:sz w:val="24"/>
                <w:szCs w:val="24"/>
                <w:lang w:eastAsia="en-GB"/>
              </w:rPr>
              <w:t>QUB-1833</w:t>
            </w:r>
          </w:p>
        </w:tc>
      </w:tr>
      <w:tr w:rsidR="00157DDA" w:rsidRPr="001D5C8F" w14:paraId="53EA2EF7" w14:textId="77777777" w:rsidTr="00157DDA">
        <w:trPr>
          <w:trHeight w:val="288"/>
          <w:jc w:val="center"/>
        </w:trPr>
        <w:tc>
          <w:tcPr>
            <w:tcW w:w="2146" w:type="dxa"/>
            <w:shd w:val="clear" w:color="auto" w:fill="auto"/>
            <w:noWrap/>
            <w:vAlign w:val="bottom"/>
            <w:hideMark/>
          </w:tcPr>
          <w:p w14:paraId="747D0C1A" w14:textId="5FA82627" w:rsidR="00157DDA" w:rsidRPr="005B5210" w:rsidRDefault="00157DDA" w:rsidP="009512A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n-GB"/>
              </w:rPr>
            </w:pPr>
            <w:r w:rsidRPr="005B5210">
              <w:rPr>
                <w:rFonts w:ascii="Times New Roman" w:eastAsia="Times New Roman" w:hAnsi="Times New Roman" w:cs="Times New Roman"/>
                <w:sz w:val="24"/>
                <w:szCs w:val="24"/>
                <w:lang w:eastAsia="en-GB"/>
              </w:rPr>
              <w:t>410.40</w:t>
            </w:r>
            <w:r w:rsidRPr="001D5C8F">
              <w:rPr>
                <w:rFonts w:ascii="Times New Roman" w:eastAsia="Times New Roman" w:hAnsi="Times New Roman" w:cs="Times New Roman"/>
                <w:sz w:val="24"/>
                <w:szCs w:val="24"/>
                <w:lang w:eastAsia="en-GB"/>
              </w:rPr>
              <w:t>–410.20</w:t>
            </w:r>
          </w:p>
        </w:tc>
        <w:tc>
          <w:tcPr>
            <w:tcW w:w="1722" w:type="dxa"/>
            <w:shd w:val="clear" w:color="auto" w:fill="auto"/>
            <w:noWrap/>
            <w:vAlign w:val="bottom"/>
            <w:hideMark/>
          </w:tcPr>
          <w:p w14:paraId="2B3DB27D" w14:textId="77777777" w:rsidR="00157DDA" w:rsidRPr="005B5210" w:rsidRDefault="00157DDA" w:rsidP="009512A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n-GB"/>
              </w:rPr>
            </w:pPr>
            <w:r w:rsidRPr="005B5210">
              <w:rPr>
                <w:rFonts w:ascii="Times New Roman" w:eastAsia="Times New Roman" w:hAnsi="Times New Roman" w:cs="Times New Roman"/>
                <w:sz w:val="24"/>
                <w:szCs w:val="24"/>
                <w:lang w:eastAsia="en-GB"/>
              </w:rPr>
              <w:t>20</w:t>
            </w:r>
          </w:p>
        </w:tc>
        <w:tc>
          <w:tcPr>
            <w:tcW w:w="1230" w:type="dxa"/>
            <w:shd w:val="clear" w:color="auto" w:fill="auto"/>
            <w:noWrap/>
            <w:vAlign w:val="bottom"/>
            <w:hideMark/>
          </w:tcPr>
          <w:p w14:paraId="78F5301C" w14:textId="77777777" w:rsidR="00157DDA" w:rsidRPr="005B5210" w:rsidRDefault="00157DDA" w:rsidP="009512A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n-GB"/>
              </w:rPr>
            </w:pPr>
            <w:r w:rsidRPr="005B5210">
              <w:rPr>
                <w:rFonts w:ascii="Times New Roman" w:eastAsia="Times New Roman" w:hAnsi="Times New Roman" w:cs="Times New Roman"/>
                <w:sz w:val="24"/>
                <w:szCs w:val="24"/>
                <w:lang w:eastAsia="en-GB"/>
              </w:rPr>
              <w:t>214</w:t>
            </w:r>
          </w:p>
        </w:tc>
        <w:tc>
          <w:tcPr>
            <w:tcW w:w="975" w:type="dxa"/>
            <w:shd w:val="clear" w:color="auto" w:fill="auto"/>
            <w:noWrap/>
            <w:vAlign w:val="bottom"/>
            <w:hideMark/>
          </w:tcPr>
          <w:p w14:paraId="7143A60B" w14:textId="77777777" w:rsidR="00157DDA" w:rsidRPr="005B5210" w:rsidRDefault="00157DDA" w:rsidP="009512A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n-GB"/>
              </w:rPr>
            </w:pPr>
            <w:r w:rsidRPr="005B5210">
              <w:rPr>
                <w:rFonts w:ascii="Times New Roman" w:eastAsia="Times New Roman" w:hAnsi="Times New Roman" w:cs="Times New Roman"/>
                <w:sz w:val="24"/>
                <w:szCs w:val="24"/>
                <w:lang w:eastAsia="en-GB"/>
              </w:rPr>
              <w:t>10.7</w:t>
            </w:r>
          </w:p>
        </w:tc>
        <w:tc>
          <w:tcPr>
            <w:tcW w:w="2199" w:type="dxa"/>
            <w:shd w:val="clear" w:color="auto" w:fill="auto"/>
            <w:noWrap/>
            <w:vAlign w:val="bottom"/>
            <w:hideMark/>
          </w:tcPr>
          <w:p w14:paraId="4B45E836" w14:textId="77777777" w:rsidR="00157DDA" w:rsidRPr="005B5210" w:rsidRDefault="00157DDA" w:rsidP="009512A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n-GB"/>
              </w:rPr>
            </w:pPr>
            <w:r w:rsidRPr="005B5210">
              <w:rPr>
                <w:rFonts w:ascii="Times New Roman" w:eastAsia="Times New Roman" w:hAnsi="Times New Roman" w:cs="Times New Roman"/>
                <w:sz w:val="24"/>
                <w:szCs w:val="24"/>
                <w:lang w:eastAsia="en-GB"/>
              </w:rPr>
              <w:t>QUB-1834</w:t>
            </w:r>
          </w:p>
        </w:tc>
      </w:tr>
    </w:tbl>
    <w:p w14:paraId="618F6503" w14:textId="48456988" w:rsidR="009512A2" w:rsidRDefault="009512A2" w:rsidP="009512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29EE6365" w14:textId="77777777" w:rsidR="009512A2" w:rsidRPr="001D5C8F" w:rsidRDefault="009512A2" w:rsidP="009512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05A5521F" w14:textId="77777777" w:rsidR="009512A2" w:rsidRDefault="009512A2" w:rsidP="009512A2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2</w:t>
      </w:r>
      <w:r w:rsidRPr="001D5C8F">
        <w:rPr>
          <w:rFonts w:ascii="Times New Roman" w:hAnsi="Times New Roman" w:cs="Times New Roman"/>
          <w:b/>
          <w:bCs/>
          <w:sz w:val="24"/>
          <w:szCs w:val="24"/>
        </w:rPr>
        <w:t xml:space="preserve"> Reference tephra samples</w:t>
      </w:r>
    </w:p>
    <w:p w14:paraId="324C1254" w14:textId="77777777" w:rsidR="009512A2" w:rsidRPr="0048366F" w:rsidRDefault="009512A2" w:rsidP="009512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48366F">
        <w:rPr>
          <w:rFonts w:ascii="Times New Roman" w:hAnsi="Times New Roman" w:cs="Times New Roman"/>
          <w:sz w:val="24"/>
          <w:szCs w:val="24"/>
        </w:rPr>
        <w:t xml:space="preserve">Reference tephra samples were prepared for major element geochemical analysis at Queen’s University Belfast. All samples were ground and sieved, and the fraction between 26 to 75 </w:t>
      </w:r>
      <w:r w:rsidRPr="0048366F">
        <w:rPr>
          <w:rFonts w:ascii="Times New Roman" w:hAnsi="Times New Roman" w:cstheme="minorHAnsi"/>
          <w:i/>
          <w:sz w:val="24"/>
          <w:szCs w:val="24"/>
        </w:rPr>
        <w:t>μ</w:t>
      </w:r>
      <w:r w:rsidRPr="0048366F">
        <w:rPr>
          <w:rFonts w:ascii="Times New Roman" w:hAnsi="Times New Roman" w:cs="Times New Roman"/>
          <w:sz w:val="24"/>
          <w:szCs w:val="24"/>
        </w:rPr>
        <w:t>m was mounted on a glass slide, covered in B</w:t>
      </w:r>
      <w:r>
        <w:rPr>
          <w:rFonts w:ascii="Times New Roman" w:hAnsi="Times New Roman" w:cs="Times New Roman"/>
          <w:sz w:val="24"/>
          <w:szCs w:val="24"/>
        </w:rPr>
        <w:t>ue</w:t>
      </w:r>
      <w:r w:rsidRPr="0048366F">
        <w:rPr>
          <w:rFonts w:ascii="Times New Roman" w:hAnsi="Times New Roman" w:cs="Times New Roman"/>
          <w:sz w:val="24"/>
          <w:szCs w:val="24"/>
        </w:rPr>
        <w:t>hler Epox</w:t>
      </w:r>
      <w:r>
        <w:rPr>
          <w:rFonts w:ascii="Times New Roman" w:hAnsi="Times New Roman" w:cs="Times New Roman"/>
          <w:sz w:val="24"/>
          <w:szCs w:val="24"/>
        </w:rPr>
        <w:t>i</w:t>
      </w:r>
      <w:r w:rsidRPr="0048366F">
        <w:rPr>
          <w:rFonts w:ascii="Times New Roman" w:hAnsi="Times New Roman" w:cs="Times New Roman"/>
          <w:sz w:val="24"/>
          <w:szCs w:val="24"/>
        </w:rPr>
        <w:t>Cure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48366F">
        <w:rPr>
          <w:rFonts w:ascii="Times New Roman" w:hAnsi="Times New Roman" w:cs="Times New Roman"/>
          <w:sz w:val="24"/>
          <w:szCs w:val="24"/>
        </w:rPr>
        <w:t>2 resin, which was ground and polished to expose the surface of glass shards.</w:t>
      </w:r>
    </w:p>
    <w:p w14:paraId="2B67FAA8" w14:textId="3967DD21" w:rsidR="009512A2" w:rsidRDefault="009512A2" w:rsidP="009512A2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14:paraId="4F07C636" w14:textId="77777777" w:rsidR="009512A2" w:rsidRPr="001D5C8F" w:rsidRDefault="009512A2" w:rsidP="009512A2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2</w:t>
      </w:r>
      <w:r w:rsidRPr="001D5C8F">
        <w:rPr>
          <w:rFonts w:ascii="Times New Roman" w:hAnsi="Times New Roman" w:cs="Times New Roman"/>
          <w:b/>
          <w:bCs/>
          <w:sz w:val="24"/>
          <w:szCs w:val="24"/>
        </w:rPr>
        <w:t>.1 Chikurachki tephra samples</w:t>
      </w:r>
    </w:p>
    <w:p w14:paraId="784BF4E2" w14:textId="77777777" w:rsidR="009512A2" w:rsidRPr="001D5C8F" w:rsidRDefault="009512A2" w:rsidP="009512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1D5C8F">
        <w:rPr>
          <w:rFonts w:ascii="Times New Roman" w:hAnsi="Times New Roman" w:cs="Times New Roman"/>
          <w:sz w:val="24"/>
          <w:szCs w:val="24"/>
        </w:rPr>
        <w:t>OSC1</w:t>
      </w:r>
      <w:r>
        <w:rPr>
          <w:rFonts w:ascii="Times New Roman" w:hAnsi="Times New Roman" w:cs="Times New Roman"/>
          <w:sz w:val="24"/>
          <w:szCs w:val="24"/>
        </w:rPr>
        <w:t>–</w:t>
      </w:r>
      <w:r w:rsidRPr="001D5C8F">
        <w:rPr>
          <w:rFonts w:ascii="Times New Roman" w:hAnsi="Times New Roman" w:cs="Times New Roman"/>
          <w:sz w:val="24"/>
          <w:szCs w:val="24"/>
        </w:rPr>
        <w:t xml:space="preserve">5 samples from location A08 on </w:t>
      </w:r>
      <w:proofErr w:type="spellStart"/>
      <w:r w:rsidRPr="001D5C8F">
        <w:rPr>
          <w:rFonts w:ascii="Times New Roman" w:hAnsi="Times New Roman" w:cs="Times New Roman"/>
          <w:sz w:val="24"/>
          <w:szCs w:val="24"/>
        </w:rPr>
        <w:t>Paramushir</w:t>
      </w:r>
      <w:proofErr w:type="spellEnd"/>
      <w:r w:rsidRPr="001D5C8F">
        <w:rPr>
          <w:rFonts w:ascii="Times New Roman" w:hAnsi="Times New Roman" w:cs="Times New Roman"/>
          <w:sz w:val="24"/>
          <w:szCs w:val="24"/>
        </w:rPr>
        <w:t xml:space="preserve"> Island, Kurile Islands, as described in Hasegawa et al. (2011). </w:t>
      </w:r>
      <w:r>
        <w:rPr>
          <w:rFonts w:ascii="Times New Roman" w:hAnsi="Times New Roman" w:cs="Times New Roman"/>
          <w:sz w:val="24"/>
          <w:szCs w:val="24"/>
        </w:rPr>
        <w:t xml:space="preserve">At this location, </w:t>
      </w:r>
      <w:r w:rsidRPr="001D5C8F">
        <w:rPr>
          <w:rFonts w:ascii="Times New Roman" w:hAnsi="Times New Roman" w:cs="Times New Roman"/>
          <w:sz w:val="24"/>
          <w:szCs w:val="24"/>
        </w:rPr>
        <w:t>OSC1-5</w:t>
      </w:r>
      <w:r>
        <w:rPr>
          <w:rFonts w:ascii="Times New Roman" w:hAnsi="Times New Roman" w:cs="Times New Roman"/>
          <w:sz w:val="24"/>
          <w:szCs w:val="24"/>
        </w:rPr>
        <w:t xml:space="preserve"> appears as a single unit, but can be distinguished in other exposures as a series of five distinct units separated by very thin soil horizons, of which OSC3 was the thickest (estimated tephra volume 0.06 km</w:t>
      </w:r>
      <w:r w:rsidRPr="0048366F">
        <w:rPr>
          <w:rFonts w:ascii="Times New Roman" w:hAnsi="Times New Roman" w:cs="Times New Roman"/>
          <w:sz w:val="24"/>
          <w:szCs w:val="24"/>
          <w:vertAlign w:val="superscript"/>
        </w:rPr>
        <w:t>3</w:t>
      </w:r>
      <w:r>
        <w:rPr>
          <w:rFonts w:ascii="Times New Roman" w:hAnsi="Times New Roman" w:cs="Times New Roman"/>
          <w:sz w:val="24"/>
          <w:szCs w:val="24"/>
        </w:rPr>
        <w:t>). The five units were erupted between 1600 BCE and 400 CE.</w:t>
      </w:r>
    </w:p>
    <w:p w14:paraId="14FE7831" w14:textId="35787D59" w:rsidR="009512A2" w:rsidRDefault="009512A2" w:rsidP="009512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0155AD79" w14:textId="77777777" w:rsidR="009512A2" w:rsidRDefault="009512A2" w:rsidP="009512A2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2</w:t>
      </w:r>
      <w:r w:rsidRPr="001D5C8F">
        <w:rPr>
          <w:rFonts w:ascii="Times New Roman" w:hAnsi="Times New Roman" w:cs="Times New Roman"/>
          <w:b/>
          <w:bCs/>
          <w:sz w:val="24"/>
          <w:szCs w:val="24"/>
        </w:rPr>
        <w:t>.2 Popocatépetl samples</w:t>
      </w:r>
    </w:p>
    <w:p w14:paraId="4EEC9AE0" w14:textId="33306A8B" w:rsidR="009512A2" w:rsidRDefault="009512A2" w:rsidP="009512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347E81">
        <w:rPr>
          <w:rFonts w:ascii="Times New Roman" w:hAnsi="Times New Roman" w:cs="Times New Roman"/>
          <w:sz w:val="24"/>
          <w:szCs w:val="24"/>
        </w:rPr>
        <w:t xml:space="preserve">Reference samples were obtained from the </w:t>
      </w:r>
      <w:r w:rsidR="007B493F" w:rsidRPr="007B493F">
        <w:rPr>
          <w:rFonts w:ascii="Times New Roman" w:hAnsi="Times New Roman" w:cs="Times New Roman"/>
          <w:sz w:val="24"/>
          <w:szCs w:val="24"/>
        </w:rPr>
        <w:t>Division of Petrology and Volcanology, Department of Mineral Sciences</w:t>
      </w:r>
      <w:r>
        <w:rPr>
          <w:rFonts w:ascii="Times New Roman" w:hAnsi="Times New Roman" w:cs="Times New Roman"/>
          <w:sz w:val="24"/>
          <w:szCs w:val="24"/>
        </w:rPr>
        <w:t xml:space="preserve">, </w:t>
      </w:r>
      <w:r w:rsidRPr="00347E81">
        <w:rPr>
          <w:rFonts w:ascii="Times New Roman" w:hAnsi="Times New Roman" w:cs="Times New Roman"/>
          <w:sz w:val="24"/>
          <w:szCs w:val="24"/>
        </w:rPr>
        <w:t xml:space="preserve">Smithsonian </w:t>
      </w:r>
      <w:r>
        <w:rPr>
          <w:rFonts w:ascii="Times New Roman" w:hAnsi="Times New Roman" w:cs="Times New Roman"/>
          <w:sz w:val="24"/>
          <w:szCs w:val="24"/>
        </w:rPr>
        <w:t>Institution,</w:t>
      </w:r>
      <w:r w:rsidRPr="00347E81">
        <w:rPr>
          <w:rFonts w:ascii="Times New Roman" w:hAnsi="Times New Roman" w:cs="Times New Roman"/>
          <w:sz w:val="24"/>
          <w:szCs w:val="24"/>
        </w:rPr>
        <w:t xml:space="preserve"> and from </w:t>
      </w:r>
      <w:r>
        <w:rPr>
          <w:rFonts w:ascii="Times New Roman" w:hAnsi="Times New Roman" w:cs="Times New Roman"/>
          <w:sz w:val="24"/>
          <w:szCs w:val="24"/>
        </w:rPr>
        <w:t xml:space="preserve">the Department of Volcanology, Autonomous </w:t>
      </w:r>
      <w:r w:rsidRPr="00347E81">
        <w:rPr>
          <w:rFonts w:ascii="Times New Roman" w:hAnsi="Times New Roman" w:cs="Times New Roman"/>
          <w:sz w:val="24"/>
          <w:szCs w:val="24"/>
        </w:rPr>
        <w:t xml:space="preserve">University </w:t>
      </w:r>
      <w:r>
        <w:rPr>
          <w:rFonts w:ascii="Times New Roman" w:hAnsi="Times New Roman" w:cs="Times New Roman"/>
          <w:sz w:val="24"/>
          <w:szCs w:val="24"/>
        </w:rPr>
        <w:t>of Mexico.</w:t>
      </w:r>
    </w:p>
    <w:p w14:paraId="20EEA68F" w14:textId="77777777" w:rsidR="00AC7198" w:rsidRPr="00347E81" w:rsidRDefault="00AC7198" w:rsidP="009512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tbl>
      <w:tblPr>
        <w:tblStyle w:val="TableGrid"/>
        <w:tblpPr w:leftFromText="180" w:rightFromText="180" w:vertAnchor="text" w:horzAnchor="margin" w:tblpY="13"/>
        <w:tblW w:w="0" w:type="auto"/>
        <w:tblLook w:val="04A0" w:firstRow="1" w:lastRow="0" w:firstColumn="1" w:lastColumn="0" w:noHBand="0" w:noVBand="1"/>
      </w:tblPr>
      <w:tblGrid>
        <w:gridCol w:w="2122"/>
        <w:gridCol w:w="2409"/>
        <w:gridCol w:w="2835"/>
        <w:gridCol w:w="1560"/>
      </w:tblGrid>
      <w:tr w:rsidR="009512A2" w:rsidRPr="001D5C8F" w14:paraId="255EAE36" w14:textId="77777777" w:rsidTr="009512A2">
        <w:tc>
          <w:tcPr>
            <w:tcW w:w="2122" w:type="dxa"/>
          </w:tcPr>
          <w:p w14:paraId="65FE6BC0" w14:textId="77777777" w:rsidR="009512A2" w:rsidRPr="00092787" w:rsidRDefault="009512A2" w:rsidP="009512A2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09278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Sample ID</w:t>
            </w:r>
          </w:p>
        </w:tc>
        <w:tc>
          <w:tcPr>
            <w:tcW w:w="2409" w:type="dxa"/>
          </w:tcPr>
          <w:p w14:paraId="6C788B06" w14:textId="77777777" w:rsidR="009512A2" w:rsidRPr="00092787" w:rsidRDefault="009512A2" w:rsidP="009512A2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09278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Material</w:t>
            </w:r>
          </w:p>
        </w:tc>
        <w:tc>
          <w:tcPr>
            <w:tcW w:w="2835" w:type="dxa"/>
          </w:tcPr>
          <w:p w14:paraId="677A630F" w14:textId="77777777" w:rsidR="009512A2" w:rsidRPr="00092787" w:rsidRDefault="009512A2" w:rsidP="009512A2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Location</w:t>
            </w:r>
          </w:p>
        </w:tc>
        <w:tc>
          <w:tcPr>
            <w:tcW w:w="1560" w:type="dxa"/>
          </w:tcPr>
          <w:p w14:paraId="5D371648" w14:textId="77777777" w:rsidR="009512A2" w:rsidRPr="00092787" w:rsidRDefault="009512A2" w:rsidP="009512A2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09278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Collector</w:t>
            </w:r>
          </w:p>
        </w:tc>
      </w:tr>
      <w:tr w:rsidR="009512A2" w:rsidRPr="001D5C8F" w14:paraId="685DCBD4" w14:textId="77777777" w:rsidTr="009512A2">
        <w:tc>
          <w:tcPr>
            <w:tcW w:w="2122" w:type="dxa"/>
          </w:tcPr>
          <w:p w14:paraId="3C4E103B" w14:textId="77777777" w:rsidR="009512A2" w:rsidRPr="001D5C8F" w:rsidRDefault="009512A2" w:rsidP="009512A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D5C8F">
              <w:rPr>
                <w:rFonts w:ascii="Times New Roman" w:hAnsi="Times New Roman" w:cs="Times New Roman"/>
                <w:sz w:val="24"/>
                <w:szCs w:val="24"/>
              </w:rPr>
              <w:t>NMNH 107955</w:t>
            </w:r>
          </w:p>
        </w:tc>
        <w:tc>
          <w:tcPr>
            <w:tcW w:w="2409" w:type="dxa"/>
          </w:tcPr>
          <w:p w14:paraId="19D16D45" w14:textId="77777777" w:rsidR="009512A2" w:rsidRPr="001D5C8F" w:rsidRDefault="009512A2" w:rsidP="009512A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Volcanic ash</w:t>
            </w:r>
          </w:p>
        </w:tc>
        <w:tc>
          <w:tcPr>
            <w:tcW w:w="2835" w:type="dxa"/>
          </w:tcPr>
          <w:p w14:paraId="1259AEA2" w14:textId="77777777" w:rsidR="009512A2" w:rsidRDefault="009512A2" w:rsidP="009512A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560" w:type="dxa"/>
          </w:tcPr>
          <w:p w14:paraId="158D4A08" w14:textId="77777777" w:rsidR="009512A2" w:rsidRPr="001D5C8F" w:rsidRDefault="009512A2" w:rsidP="009512A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W.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Foshag</w:t>
            </w:r>
            <w:proofErr w:type="spellEnd"/>
          </w:p>
        </w:tc>
      </w:tr>
      <w:tr w:rsidR="009512A2" w:rsidRPr="001D5C8F" w14:paraId="6098DF77" w14:textId="77777777" w:rsidTr="009512A2">
        <w:tc>
          <w:tcPr>
            <w:tcW w:w="2122" w:type="dxa"/>
          </w:tcPr>
          <w:p w14:paraId="71616352" w14:textId="77777777" w:rsidR="009512A2" w:rsidRPr="001D5C8F" w:rsidRDefault="009512A2" w:rsidP="009512A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D5C8F">
              <w:rPr>
                <w:rFonts w:ascii="Times New Roman" w:hAnsi="Times New Roman" w:cs="Times New Roman"/>
                <w:sz w:val="24"/>
                <w:szCs w:val="24"/>
              </w:rPr>
              <w:t>NMNH 107956-1</w:t>
            </w:r>
          </w:p>
        </w:tc>
        <w:tc>
          <w:tcPr>
            <w:tcW w:w="2409" w:type="dxa"/>
          </w:tcPr>
          <w:p w14:paraId="402C42CA" w14:textId="77777777" w:rsidR="009512A2" w:rsidRPr="001D5C8F" w:rsidRDefault="009512A2" w:rsidP="009512A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Andesitic volcanic ash</w:t>
            </w:r>
          </w:p>
        </w:tc>
        <w:tc>
          <w:tcPr>
            <w:tcW w:w="2835" w:type="dxa"/>
          </w:tcPr>
          <w:p w14:paraId="7D0B1EEA" w14:textId="77777777" w:rsidR="009512A2" w:rsidRDefault="009512A2" w:rsidP="009512A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Puebla; Puerto de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Tlamacas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>, 14,000 ft above</w:t>
            </w:r>
          </w:p>
        </w:tc>
        <w:tc>
          <w:tcPr>
            <w:tcW w:w="1560" w:type="dxa"/>
          </w:tcPr>
          <w:p w14:paraId="2EADE78D" w14:textId="77777777" w:rsidR="009512A2" w:rsidRPr="001D5C8F" w:rsidRDefault="009512A2" w:rsidP="009512A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W.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Foshag</w:t>
            </w:r>
            <w:proofErr w:type="spellEnd"/>
          </w:p>
        </w:tc>
      </w:tr>
      <w:tr w:rsidR="009512A2" w:rsidRPr="001D5C8F" w14:paraId="1F95B20D" w14:textId="77777777" w:rsidTr="009512A2">
        <w:tc>
          <w:tcPr>
            <w:tcW w:w="2122" w:type="dxa"/>
          </w:tcPr>
          <w:p w14:paraId="63C1D0DD" w14:textId="77777777" w:rsidR="009512A2" w:rsidRPr="001D5C8F" w:rsidRDefault="009512A2" w:rsidP="009512A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D5C8F">
              <w:rPr>
                <w:rFonts w:ascii="Times New Roman" w:hAnsi="Times New Roman" w:cs="Times New Roman"/>
                <w:sz w:val="24"/>
                <w:szCs w:val="24"/>
              </w:rPr>
              <w:t>NMNH 117629-15</w:t>
            </w:r>
          </w:p>
        </w:tc>
        <w:tc>
          <w:tcPr>
            <w:tcW w:w="2409" w:type="dxa"/>
          </w:tcPr>
          <w:p w14:paraId="1D76990F" w14:textId="77777777" w:rsidR="009512A2" w:rsidRPr="001D5C8F" w:rsidRDefault="009512A2" w:rsidP="009512A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Volcanic ash</w:t>
            </w:r>
          </w:p>
        </w:tc>
        <w:tc>
          <w:tcPr>
            <w:tcW w:w="2835" w:type="dxa"/>
          </w:tcPr>
          <w:p w14:paraId="69DAA811" w14:textId="77777777" w:rsidR="009512A2" w:rsidRDefault="009512A2" w:rsidP="009512A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Tlamacas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>, Puebla-Morelos border</w:t>
            </w:r>
          </w:p>
        </w:tc>
        <w:tc>
          <w:tcPr>
            <w:tcW w:w="1560" w:type="dxa"/>
          </w:tcPr>
          <w:p w14:paraId="046E894B" w14:textId="77777777" w:rsidR="009512A2" w:rsidRPr="001D5C8F" w:rsidRDefault="009512A2" w:rsidP="009512A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W.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Foshag</w:t>
            </w:r>
            <w:proofErr w:type="spellEnd"/>
          </w:p>
        </w:tc>
      </w:tr>
      <w:tr w:rsidR="009512A2" w:rsidRPr="001D5C8F" w14:paraId="2D943EDC" w14:textId="77777777" w:rsidTr="009512A2">
        <w:tc>
          <w:tcPr>
            <w:tcW w:w="2122" w:type="dxa"/>
          </w:tcPr>
          <w:p w14:paraId="4CDC7237" w14:textId="77777777" w:rsidR="009512A2" w:rsidRPr="001D5C8F" w:rsidRDefault="009512A2" w:rsidP="009512A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D5C8F">
              <w:rPr>
                <w:rFonts w:ascii="Times New Roman" w:hAnsi="Times New Roman" w:cs="Times New Roman"/>
                <w:sz w:val="24"/>
                <w:szCs w:val="24"/>
              </w:rPr>
              <w:t>NMNH 117629-16</w:t>
            </w:r>
          </w:p>
        </w:tc>
        <w:tc>
          <w:tcPr>
            <w:tcW w:w="2409" w:type="dxa"/>
          </w:tcPr>
          <w:p w14:paraId="40168B7C" w14:textId="77777777" w:rsidR="009512A2" w:rsidRPr="001D5C8F" w:rsidRDefault="009512A2" w:rsidP="009512A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Volcanic ash</w:t>
            </w:r>
          </w:p>
        </w:tc>
        <w:tc>
          <w:tcPr>
            <w:tcW w:w="2835" w:type="dxa"/>
          </w:tcPr>
          <w:p w14:paraId="3BF1F647" w14:textId="77777777" w:rsidR="009512A2" w:rsidRDefault="009512A2" w:rsidP="009512A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Paseo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de Cortez, Puebla-Morelos border</w:t>
            </w:r>
          </w:p>
        </w:tc>
        <w:tc>
          <w:tcPr>
            <w:tcW w:w="1560" w:type="dxa"/>
          </w:tcPr>
          <w:p w14:paraId="4C81E0A7" w14:textId="77777777" w:rsidR="009512A2" w:rsidRPr="001D5C8F" w:rsidRDefault="009512A2" w:rsidP="009512A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W.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Foshag</w:t>
            </w:r>
            <w:proofErr w:type="spellEnd"/>
          </w:p>
        </w:tc>
      </w:tr>
      <w:tr w:rsidR="009512A2" w:rsidRPr="001D5C8F" w14:paraId="108D656B" w14:textId="77777777" w:rsidTr="009512A2">
        <w:tc>
          <w:tcPr>
            <w:tcW w:w="2122" w:type="dxa"/>
          </w:tcPr>
          <w:p w14:paraId="2B3C4FBF" w14:textId="77777777" w:rsidR="009512A2" w:rsidRPr="001D5C8F" w:rsidRDefault="009512A2" w:rsidP="009512A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PO-15040</w:t>
            </w:r>
          </w:p>
        </w:tc>
        <w:tc>
          <w:tcPr>
            <w:tcW w:w="2409" w:type="dxa"/>
          </w:tcPr>
          <w:p w14:paraId="43CC135A" w14:textId="77777777" w:rsidR="009512A2" w:rsidRDefault="009512A2" w:rsidP="009512A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Lorenzo Plinian pumice</w:t>
            </w:r>
          </w:p>
        </w:tc>
        <w:tc>
          <w:tcPr>
            <w:tcW w:w="2835" w:type="dxa"/>
          </w:tcPr>
          <w:p w14:paraId="070F29AF" w14:textId="7627472E" w:rsidR="009512A2" w:rsidRDefault="009512A2" w:rsidP="009512A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19°02’25.9” N, 98°33’48.4” W, 2215 m</w:t>
            </w:r>
            <w:r w:rsidR="007B493F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above sea level</w:t>
            </w:r>
          </w:p>
        </w:tc>
        <w:tc>
          <w:tcPr>
            <w:tcW w:w="1560" w:type="dxa"/>
          </w:tcPr>
          <w:p w14:paraId="6BBEC4B6" w14:textId="77777777" w:rsidR="009512A2" w:rsidRDefault="009512A2" w:rsidP="009512A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C. Siebe</w:t>
            </w:r>
          </w:p>
        </w:tc>
      </w:tr>
      <w:tr w:rsidR="009512A2" w:rsidRPr="001D5C8F" w14:paraId="24765FE5" w14:textId="77777777" w:rsidTr="009512A2">
        <w:tc>
          <w:tcPr>
            <w:tcW w:w="2122" w:type="dxa"/>
          </w:tcPr>
          <w:p w14:paraId="1B78718C" w14:textId="77777777" w:rsidR="009512A2" w:rsidRPr="001D5C8F" w:rsidRDefault="009512A2" w:rsidP="009512A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PO-15040</w:t>
            </w:r>
          </w:p>
        </w:tc>
        <w:tc>
          <w:tcPr>
            <w:tcW w:w="2409" w:type="dxa"/>
          </w:tcPr>
          <w:p w14:paraId="76A8B9C2" w14:textId="77777777" w:rsidR="009512A2" w:rsidRPr="001D5C8F" w:rsidRDefault="009512A2" w:rsidP="009512A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Pink3 Plinian pumice</w:t>
            </w:r>
          </w:p>
        </w:tc>
        <w:tc>
          <w:tcPr>
            <w:tcW w:w="2835" w:type="dxa"/>
          </w:tcPr>
          <w:p w14:paraId="41EB46A1" w14:textId="3C85CD16" w:rsidR="009512A2" w:rsidRPr="001D5C8F" w:rsidRDefault="009512A2" w:rsidP="009512A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19°02’25.9” N, 98°33’48.4” W, 3080 m above sea leve</w:t>
            </w:r>
            <w:r w:rsidR="00DB3DF2">
              <w:rPr>
                <w:rFonts w:ascii="Times New Roman" w:hAnsi="Times New Roman" w:cs="Times New Roman"/>
                <w:sz w:val="24"/>
                <w:szCs w:val="24"/>
              </w:rPr>
              <w:t>l</w:t>
            </w:r>
          </w:p>
        </w:tc>
        <w:tc>
          <w:tcPr>
            <w:tcW w:w="1560" w:type="dxa"/>
          </w:tcPr>
          <w:p w14:paraId="7A0171C4" w14:textId="77777777" w:rsidR="009512A2" w:rsidRPr="001D5C8F" w:rsidRDefault="009512A2" w:rsidP="009512A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C. Siebe</w:t>
            </w:r>
          </w:p>
        </w:tc>
      </w:tr>
    </w:tbl>
    <w:p w14:paraId="6C49990C" w14:textId="637428D7" w:rsidR="009512A2" w:rsidRDefault="009512A2" w:rsidP="009512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7A4FB1D8" w14:textId="77777777" w:rsidR="007B493F" w:rsidRPr="001D5C8F" w:rsidRDefault="007B493F" w:rsidP="009512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703639DB" w14:textId="38B9E8B9" w:rsidR="00F806DE" w:rsidRPr="009512A2" w:rsidRDefault="009512A2" w:rsidP="009512A2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9512A2">
        <w:rPr>
          <w:rFonts w:ascii="Times New Roman" w:hAnsi="Times New Roman" w:cs="Times New Roman"/>
          <w:b/>
          <w:bCs/>
          <w:sz w:val="24"/>
          <w:szCs w:val="24"/>
        </w:rPr>
        <w:lastRenderedPageBreak/>
        <w:t>3</w:t>
      </w:r>
      <w:r w:rsidR="00E06C3D" w:rsidRPr="009512A2">
        <w:rPr>
          <w:rFonts w:ascii="Times New Roman" w:hAnsi="Times New Roman" w:cs="Times New Roman"/>
          <w:b/>
          <w:bCs/>
          <w:sz w:val="24"/>
          <w:szCs w:val="24"/>
        </w:rPr>
        <w:t xml:space="preserve"> Images of QUB-1832</w:t>
      </w:r>
      <w:r w:rsidR="00155731" w:rsidRPr="009512A2">
        <w:rPr>
          <w:rFonts w:ascii="Times New Roman" w:hAnsi="Times New Roman" w:cs="Times New Roman"/>
          <w:b/>
          <w:bCs/>
          <w:sz w:val="24"/>
          <w:szCs w:val="24"/>
        </w:rPr>
        <w:t xml:space="preserve"> and QUB-1833</w:t>
      </w:r>
      <w:r w:rsidR="00E06C3D" w:rsidRPr="009512A2">
        <w:rPr>
          <w:rFonts w:ascii="Times New Roman" w:hAnsi="Times New Roman" w:cs="Times New Roman"/>
          <w:b/>
          <w:bCs/>
          <w:sz w:val="24"/>
          <w:szCs w:val="24"/>
        </w:rPr>
        <w:t xml:space="preserve"> shards</w:t>
      </w:r>
    </w:p>
    <w:p w14:paraId="1EB04724" w14:textId="4DC4ED01" w:rsidR="00E06C3D" w:rsidRDefault="009512A2" w:rsidP="009512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16C50EB7" wp14:editId="15AD053A">
            <wp:extent cx="5154131" cy="8621928"/>
            <wp:effectExtent l="0" t="0" r="8890" b="8255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3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55385" cy="86240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96DEC0" w14:textId="158F12C0" w:rsidR="001D5C8F" w:rsidRPr="001D5C8F" w:rsidRDefault="001D5C8F" w:rsidP="009512A2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1D5C8F">
        <w:rPr>
          <w:rFonts w:ascii="Times New Roman" w:hAnsi="Times New Roman" w:cs="Times New Roman"/>
          <w:b/>
          <w:bCs/>
          <w:sz w:val="24"/>
          <w:szCs w:val="24"/>
        </w:rPr>
        <w:lastRenderedPageBreak/>
        <w:t>References</w:t>
      </w:r>
    </w:p>
    <w:p w14:paraId="347320CE" w14:textId="3BBBA127" w:rsidR="001D5C8F" w:rsidRPr="001D5C8F" w:rsidRDefault="001D5C8F" w:rsidP="009512A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  <w:r w:rsidRPr="001D5C8F">
        <w:rPr>
          <w:rFonts w:ascii="Times New Roman" w:eastAsia="Times New Roman" w:hAnsi="Times New Roman" w:cs="Times New Roman"/>
          <w:sz w:val="24"/>
          <w:szCs w:val="24"/>
          <w:lang w:eastAsia="en-GB"/>
        </w:rPr>
        <w:t>Hasegawa, T., Nakagawa, M., Yoshimoto, M., Ishizuka, Y., Hirose, W., Seki, S.</w:t>
      </w:r>
      <w:r w:rsidR="00092787">
        <w:rPr>
          <w:rFonts w:ascii="Times New Roman" w:eastAsia="Times New Roman" w:hAnsi="Times New Roman" w:cs="Times New Roman"/>
          <w:sz w:val="24"/>
          <w:szCs w:val="24"/>
          <w:lang w:eastAsia="en-GB"/>
        </w:rPr>
        <w:t xml:space="preserve"> </w:t>
      </w:r>
      <w:r w:rsidRPr="001D5C8F">
        <w:rPr>
          <w:rFonts w:ascii="Times New Roman" w:eastAsia="Times New Roman" w:hAnsi="Times New Roman" w:cs="Times New Roman"/>
          <w:sz w:val="24"/>
          <w:szCs w:val="24"/>
          <w:lang w:eastAsia="en-GB"/>
        </w:rPr>
        <w:t>I., Ponomareva, V.</w:t>
      </w:r>
      <w:r w:rsidR="00092787">
        <w:rPr>
          <w:rFonts w:ascii="Times New Roman" w:eastAsia="Times New Roman" w:hAnsi="Times New Roman" w:cs="Times New Roman"/>
          <w:sz w:val="24"/>
          <w:szCs w:val="24"/>
          <w:lang w:eastAsia="en-GB"/>
        </w:rPr>
        <w:t>,</w:t>
      </w:r>
      <w:r w:rsidRPr="001D5C8F">
        <w:rPr>
          <w:rFonts w:ascii="Times New Roman" w:eastAsia="Times New Roman" w:hAnsi="Times New Roman" w:cs="Times New Roman"/>
          <w:sz w:val="24"/>
          <w:szCs w:val="24"/>
          <w:lang w:eastAsia="en-GB"/>
        </w:rPr>
        <w:t xml:space="preserve"> and Alexander, R.</w:t>
      </w:r>
      <w:r w:rsidR="00092787">
        <w:rPr>
          <w:rFonts w:ascii="Times New Roman" w:eastAsia="Times New Roman" w:hAnsi="Times New Roman" w:cs="Times New Roman"/>
          <w:sz w:val="24"/>
          <w:szCs w:val="24"/>
          <w:lang w:eastAsia="en-GB"/>
        </w:rPr>
        <w:t>:</w:t>
      </w:r>
      <w:r w:rsidRPr="001D5C8F">
        <w:rPr>
          <w:rFonts w:ascii="Times New Roman" w:eastAsia="Times New Roman" w:hAnsi="Times New Roman" w:cs="Times New Roman"/>
          <w:sz w:val="24"/>
          <w:szCs w:val="24"/>
          <w:lang w:eastAsia="en-GB"/>
        </w:rPr>
        <w:t xml:space="preserve"> Tephrostratigraphy and petrological study of Chikurachki and Fuss volcanoes, western </w:t>
      </w:r>
      <w:proofErr w:type="spellStart"/>
      <w:r w:rsidRPr="001D5C8F">
        <w:rPr>
          <w:rFonts w:ascii="Times New Roman" w:eastAsia="Times New Roman" w:hAnsi="Times New Roman" w:cs="Times New Roman"/>
          <w:sz w:val="24"/>
          <w:szCs w:val="24"/>
          <w:lang w:eastAsia="en-GB"/>
        </w:rPr>
        <w:t>Paramushir</w:t>
      </w:r>
      <w:proofErr w:type="spellEnd"/>
      <w:r w:rsidRPr="001D5C8F">
        <w:rPr>
          <w:rFonts w:ascii="Times New Roman" w:eastAsia="Times New Roman" w:hAnsi="Times New Roman" w:cs="Times New Roman"/>
          <w:sz w:val="24"/>
          <w:szCs w:val="24"/>
          <w:lang w:eastAsia="en-GB"/>
        </w:rPr>
        <w:t xml:space="preserve"> Island, northern Kurile Islands: Evaluation of Holocene eruptive activity and temporal change of magma system</w:t>
      </w:r>
      <w:r w:rsidR="00092787">
        <w:rPr>
          <w:rFonts w:ascii="Times New Roman" w:eastAsia="Times New Roman" w:hAnsi="Times New Roman" w:cs="Times New Roman"/>
          <w:sz w:val="24"/>
          <w:szCs w:val="24"/>
          <w:lang w:eastAsia="en-GB"/>
        </w:rPr>
        <w:t>,</w:t>
      </w:r>
      <w:r w:rsidRPr="001D5C8F">
        <w:rPr>
          <w:rFonts w:ascii="Times New Roman" w:eastAsia="Times New Roman" w:hAnsi="Times New Roman" w:cs="Times New Roman"/>
          <w:sz w:val="24"/>
          <w:szCs w:val="24"/>
          <w:lang w:eastAsia="en-GB"/>
        </w:rPr>
        <w:t xml:space="preserve"> Quaternary International, 246, </w:t>
      </w:r>
      <w:r w:rsidR="00092787">
        <w:rPr>
          <w:rFonts w:ascii="Times New Roman" w:eastAsia="Times New Roman" w:hAnsi="Times New Roman" w:cs="Times New Roman"/>
          <w:sz w:val="24"/>
          <w:szCs w:val="24"/>
          <w:lang w:eastAsia="en-GB"/>
        </w:rPr>
        <w:t>2</w:t>
      </w:r>
      <w:r w:rsidRPr="001D5C8F">
        <w:rPr>
          <w:rFonts w:ascii="Times New Roman" w:eastAsia="Times New Roman" w:hAnsi="Times New Roman" w:cs="Times New Roman"/>
          <w:sz w:val="24"/>
          <w:szCs w:val="24"/>
          <w:lang w:eastAsia="en-GB"/>
        </w:rPr>
        <w:t>78-297</w:t>
      </w:r>
      <w:r w:rsidR="00092787">
        <w:rPr>
          <w:rFonts w:ascii="Times New Roman" w:eastAsia="Times New Roman" w:hAnsi="Times New Roman" w:cs="Times New Roman"/>
          <w:sz w:val="24"/>
          <w:szCs w:val="24"/>
          <w:lang w:eastAsia="en-GB"/>
        </w:rPr>
        <w:t xml:space="preserve">, </w:t>
      </w:r>
      <w:r w:rsidR="00092787" w:rsidRPr="00092787">
        <w:rPr>
          <w:rFonts w:ascii="Times New Roman" w:eastAsia="Times New Roman" w:hAnsi="Times New Roman" w:cs="Times New Roman"/>
          <w:sz w:val="24"/>
          <w:szCs w:val="24"/>
          <w:lang w:eastAsia="en-GB"/>
        </w:rPr>
        <w:t>doi.org/10.1016/j.quaint.2011.06.047</w:t>
      </w:r>
      <w:r w:rsidR="00092787">
        <w:rPr>
          <w:rFonts w:ascii="Times New Roman" w:eastAsia="Times New Roman" w:hAnsi="Times New Roman" w:cs="Times New Roman"/>
          <w:sz w:val="24"/>
          <w:szCs w:val="24"/>
          <w:lang w:eastAsia="en-GB"/>
        </w:rPr>
        <w:t>, 2011.</w:t>
      </w:r>
    </w:p>
    <w:p w14:paraId="2CCF0699" w14:textId="77777777" w:rsidR="001D5C8F" w:rsidRPr="001D5C8F" w:rsidRDefault="001D5C8F" w:rsidP="009512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sectPr w:rsidR="001D5C8F" w:rsidRPr="001D5C8F">
      <w:footerReference w:type="default" r:id="rId8"/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C72C672" w14:textId="77777777" w:rsidR="005002E3" w:rsidRDefault="005002E3" w:rsidP="00AC7198">
      <w:pPr>
        <w:spacing w:after="0" w:line="240" w:lineRule="auto"/>
      </w:pPr>
      <w:r>
        <w:separator/>
      </w:r>
    </w:p>
  </w:endnote>
  <w:endnote w:type="continuationSeparator" w:id="0">
    <w:p w14:paraId="420F600B" w14:textId="77777777" w:rsidR="005002E3" w:rsidRDefault="005002E3" w:rsidP="00AC719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207919245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0A6D02EE" w14:textId="5053B2DC" w:rsidR="00AC7198" w:rsidRDefault="00AC7198">
        <w:pPr>
          <w:pStyle w:val="Footer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>
          <w:rPr>
            <w:noProof/>
          </w:rPr>
          <w:t>2</w:t>
        </w:r>
        <w:r>
          <w:rPr>
            <w:noProof/>
          </w:rPr>
          <w:fldChar w:fldCharType="end"/>
        </w:r>
      </w:p>
    </w:sdtContent>
  </w:sdt>
  <w:p w14:paraId="3E4696BE" w14:textId="77777777" w:rsidR="00AC7198" w:rsidRDefault="00AC7198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EE839A1" w14:textId="77777777" w:rsidR="005002E3" w:rsidRDefault="005002E3" w:rsidP="00AC7198">
      <w:pPr>
        <w:spacing w:after="0" w:line="240" w:lineRule="auto"/>
      </w:pPr>
      <w:r>
        <w:separator/>
      </w:r>
    </w:p>
  </w:footnote>
  <w:footnote w:type="continuationSeparator" w:id="0">
    <w:p w14:paraId="193DBF6D" w14:textId="77777777" w:rsidR="005002E3" w:rsidRDefault="005002E3" w:rsidP="00AC7198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2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A43BA"/>
    <w:rsid w:val="00013C27"/>
    <w:rsid w:val="00092787"/>
    <w:rsid w:val="00155731"/>
    <w:rsid w:val="00157DDA"/>
    <w:rsid w:val="001738EF"/>
    <w:rsid w:val="00182F79"/>
    <w:rsid w:val="001D5C8F"/>
    <w:rsid w:val="002A43BA"/>
    <w:rsid w:val="00347E81"/>
    <w:rsid w:val="0048366F"/>
    <w:rsid w:val="005002E3"/>
    <w:rsid w:val="0053376A"/>
    <w:rsid w:val="005B5210"/>
    <w:rsid w:val="005E1CB9"/>
    <w:rsid w:val="00662809"/>
    <w:rsid w:val="006E50BF"/>
    <w:rsid w:val="00780DC8"/>
    <w:rsid w:val="007B493F"/>
    <w:rsid w:val="009512A2"/>
    <w:rsid w:val="00976890"/>
    <w:rsid w:val="00A5478E"/>
    <w:rsid w:val="00A80328"/>
    <w:rsid w:val="00AC7198"/>
    <w:rsid w:val="00C51F60"/>
    <w:rsid w:val="00C83A7F"/>
    <w:rsid w:val="00D25AC9"/>
    <w:rsid w:val="00D714DE"/>
    <w:rsid w:val="00DB3DF2"/>
    <w:rsid w:val="00E06C3D"/>
    <w:rsid w:val="00F806D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1AD9C4EA"/>
  <w15:chartTrackingRefBased/>
  <w15:docId w15:val="{A994D206-C723-4AA3-B86C-709DD7B149D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Hyperlink">
    <w:name w:val="Hyperlink"/>
    <w:basedOn w:val="DefaultParagraphFont"/>
    <w:uiPriority w:val="99"/>
    <w:unhideWhenUsed/>
    <w:rsid w:val="002A43BA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2A43BA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157DD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AC7198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AC7198"/>
  </w:style>
  <w:style w:type="paragraph" w:styleId="Footer">
    <w:name w:val="footer"/>
    <w:basedOn w:val="Normal"/>
    <w:link w:val="FooterChar"/>
    <w:uiPriority w:val="99"/>
    <w:unhideWhenUsed/>
    <w:rsid w:val="00AC7198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AC7198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80103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104973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42525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webSettings" Target="webSettings.xml"/><Relationship Id="rId7" Type="http://schemas.openxmlformats.org/officeDocument/2006/relationships/image" Target="media/image1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yperlink" Target="mailto:g.plunkett@qub.ac.uk" TargetMode="External"/><Relationship Id="rId5" Type="http://schemas.openxmlformats.org/officeDocument/2006/relationships/endnotes" Target="endnotes.xml"/><Relationship Id="rId10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168</TotalTime>
  <Pages>3</Pages>
  <Words>370</Words>
  <Characters>2114</Characters>
  <Application>Microsoft Office Word</Application>
  <DocSecurity>0</DocSecurity>
  <Lines>17</Lines>
  <Paragraphs>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2480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Gill Plunkett</dc:creator>
  <cp:keywords/>
  <dc:description/>
  <cp:lastModifiedBy>Gill Plunkett</cp:lastModifiedBy>
  <cp:revision>10</cp:revision>
  <dcterms:created xsi:type="dcterms:W3CDTF">2021-05-20T13:25:00Z</dcterms:created>
  <dcterms:modified xsi:type="dcterms:W3CDTF">2021-06-01T21:45:00Z</dcterms:modified>
</cp:coreProperties>
</file>